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Glory of God</w:t>
      </w:r>
    </w:p>
    <w:p>
      <w:pPr>
        <w:rPr>
          <w:b/>
          <w:bCs/>
        </w:rPr>
      </w:pPr>
      <w:r>
        <w:rPr>
          <w:b/>
          <w:bCs/>
        </w:rPr>
        <w:t>The Wedding At Cana – John 2:1-11</w:t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rFonts w:cs="Calibri"/>
        </w:rPr>
      </w:pPr>
      <w:r>
        <w:rPr>
          <w:rFonts w:cs="Calibri"/>
        </w:rPr>
      </w:r>
    </w:p>
    <w:p>
      <w:pPr>
        <w:rPr>
          <w:rFonts w:cs="Calibri"/>
        </w:rPr>
      </w:pPr>
      <w:r>
        <w:rPr>
          <w:rFonts w:cs="Calibri"/>
          <w:b/>
          <w:bCs/>
        </w:rPr>
        <w:t>Glory is splendor, radiance, and majesty centered in Jesus. The majestic, absolute perfection residing in Christ and evidenced by the miracles He performed</w:t>
      </w:r>
      <w:r>
        <w:rPr>
          <w:rFonts w:cs="Calibri"/>
        </w:rPr>
        <w:t xml:space="preserve">. </w:t>
      </w:r>
    </w:p>
    <w:p>
      <w:pPr>
        <w:rPr>
          <w:rFonts w:cs="Calibri"/>
        </w:rPr>
      </w:pPr>
      <w:r>
        <w:rPr>
          <w:rFonts w:cs="Calibri"/>
        </w:rPr>
      </w:r>
    </w:p>
    <w:p>
      <w:pPr>
        <w:rPr>
          <w:rFonts w:cs="Calibri"/>
        </w:rPr>
      </w:pPr>
      <w:r>
        <w:rPr>
          <w:rFonts w:cs="Calibri"/>
        </w:rPr>
      </w:r>
    </w:p>
    <w:p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John 2:1-11 New Living Translation</w:t>
      </w:r>
    </w:p>
    <w:p>
      <w:pPr>
        <w:pStyle w:val="para1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</w:rPr>
        <w:t>“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The next day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there was a wedding celebration in the village of Cana in Galilee. Jesus’ mother was there,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2 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and Jesus and his disciples were also invited to the celebration.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3 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The wine supply ran out during the festivities, so Jesus’ mother told him, “They have no more wine.”</w:t>
      </w:r>
      <w:r>
        <w:rPr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4 </w:t>
      </w:r>
      <w:r>
        <w:rPr>
          <w:rStyle w:val="char4"/>
          <w:rFonts w:ascii="Calibri" w:hAnsi="Calibri" w:cs="Calibri"/>
          <w:b/>
          <w:bCs/>
          <w:i/>
          <w:iCs/>
          <w:color w:val="000000"/>
        </w:rPr>
        <w:t>“Dear woman, that’s not our problem,”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Jesus replied.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4"/>
          <w:rFonts w:ascii="Calibri" w:hAnsi="Calibri" w:cs="Calibri"/>
          <w:b/>
          <w:bCs/>
          <w:i/>
          <w:iCs/>
          <w:color w:val="000000"/>
        </w:rPr>
        <w:t>“My time has not yet come.”</w:t>
      </w:r>
      <w:r>
        <w:rPr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5 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But his mother told the servants, “Do whatever he tells you.”</w:t>
      </w:r>
      <w:r>
        <w:rPr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6 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Standing nearby were six stone water jars, used for Jewish ceremonial washing. Each could hold twenty to thirty gallons.</w:t>
      </w: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[</w:t>
      </w:r>
      <w:hyperlink r:id="rId8" w:history="1">
        <w:r>
          <w:rPr>
            <w:rStyle w:val="char2"/>
            <w:rFonts w:ascii="Calibri" w:hAnsi="Calibri" w:cs="Calibri"/>
            <w:b/>
            <w:bCs/>
            <w:i/>
            <w:iCs/>
            <w:color w:val="517e90"/>
            <w:vertAlign w:val="superscript"/>
          </w:rPr>
          <w:t>b</w:t>
        </w:r>
      </w:hyperlink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]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7 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Jesus told the servants,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4"/>
          <w:rFonts w:ascii="Calibri" w:hAnsi="Calibri" w:cs="Calibri"/>
          <w:b/>
          <w:bCs/>
          <w:i/>
          <w:iCs/>
          <w:color w:val="000000"/>
        </w:rPr>
        <w:t>“Fill the jars with water.”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When the jars had been filled,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8 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he said,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4"/>
          <w:rFonts w:ascii="Calibri" w:hAnsi="Calibri" w:cs="Calibri"/>
          <w:b/>
          <w:bCs/>
          <w:i/>
          <w:iCs/>
          <w:color w:val="000000"/>
        </w:rPr>
        <w:t>“Now dip some out, and take it to the master of ceremonies.”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So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 the servants followed his instructions.</w:t>
      </w:r>
      <w:r>
        <w:rPr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9 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When the master of ceremonies tasted the water that was now wine, not knowing where it had come from (though, of course, the servants knew), he called the bridegroom over.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10 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“A host always serves the best wine first,” he said. “Then, when everyone has had a lot to drink, he brings out the less expensive wine. But you have kept the best until now!”</w:t>
      </w:r>
      <w:r>
        <w:rPr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11 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This miraculous sign at Cana in Galilee was the first time Jesus revealed his glory. And his disciples believed in him.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rPr>
          <w:rFonts w:ascii="Calibri" w:hAnsi="Calibri" w:cs="Calibri"/>
          <w:color w:val="000000"/>
        </w:rPr>
      </w:pPr>
      <w:r>
        <w:rPr>
          <w:rStyle w:val="char1"/>
          <w:rFonts w:ascii="Calibri" w:hAnsi="Calibri" w:cs="Calibri"/>
          <w:color w:val="000000"/>
        </w:rPr>
      </w:r>
    </w:p>
    <w:p>
      <w:pPr>
        <w:pStyle w:val="para2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6 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Standing nearby were six stone water jars, used for Jewish ceremonial washing. Each could hold twenty to thirty gallons.</w:t>
      </w: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[</w:t>
      </w:r>
      <w:hyperlink r:id="rId8" w:history="1">
        <w:r>
          <w:rPr>
            <w:rStyle w:val="char2"/>
            <w:rFonts w:ascii="Calibri" w:hAnsi="Calibri" w:cs="Calibri"/>
            <w:b/>
            <w:bCs/>
            <w:i/>
            <w:iCs/>
            <w:color w:val="517e90"/>
            <w:vertAlign w:val="superscript"/>
          </w:rPr>
          <w:t>b</w:t>
        </w:r>
      </w:hyperlink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]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7 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Jesus told the servants,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4"/>
          <w:rFonts w:ascii="Calibri" w:hAnsi="Calibri" w:cs="Calibri"/>
          <w:b/>
          <w:bCs/>
          <w:i/>
          <w:iCs/>
          <w:color w:val="000000"/>
        </w:rPr>
        <w:t>“Fill the jars with water.”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When the jars had been filled,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  <w:vertAlign w:val="superscript"/>
        </w:rPr>
        <w:t>8 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he said,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4"/>
          <w:rFonts w:ascii="Calibri" w:hAnsi="Calibri" w:cs="Calibri"/>
          <w:b/>
          <w:bCs/>
          <w:i/>
          <w:iCs/>
          <w:color w:val="000000"/>
        </w:rPr>
        <w:t>“Now dip some out, and take it to the master of ceremonies.”</w:t>
      </w:r>
      <w:r>
        <w:rPr>
          <w:rStyle w:val="char3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So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 the servants followed his instructions.</w:t>
      </w:r>
      <w:r>
        <w:rPr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rPr>
          <w:rFonts w:ascii="Calibri" w:hAnsi="Calibri" w:cs="Calibri"/>
          <w:color w:val="000000"/>
        </w:rPr>
      </w:pPr>
      <w:r>
        <w:rPr>
          <w:rStyle w:val="char1"/>
          <w:rFonts w:ascii="Calibri" w:hAnsi="Calibri" w:cs="Calibri"/>
          <w:color w:val="000000"/>
        </w:rPr>
      </w:r>
    </w:p>
    <w:p>
      <w:pPr>
        <w:pStyle w:val="para2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rPr>
          <w:rFonts w:ascii="Calibri" w:hAnsi="Calibri" w:cs="Calibri"/>
          <w:color w:val="000000"/>
        </w:rPr>
      </w:pPr>
      <w:r>
        <w:rPr>
          <w:rStyle w:val="char1"/>
          <w:rFonts w:ascii="Calibri" w:hAnsi="Calibri" w:cs="Calibri"/>
          <w:color w:val="000000"/>
        </w:rPr>
        <w:t>You get to know God’s Glory by:</w:t>
      </w:r>
      <w:r>
        <w:rPr>
          <w:rStyle w:val="char1"/>
          <w:rFonts w:ascii="Calibri" w:hAnsi="Calibri" w:cs="Calibri"/>
          <w:color w:val="000000"/>
        </w:rPr>
      </w:r>
    </w:p>
    <w:p>
      <w:pPr>
        <w:pStyle w:val="para2"/>
        <w:numPr>
          <w:ilvl w:val="0"/>
          <w:numId w:val="1"/>
        </w:numPr>
        <w:ind w:left="720" w:hanging="360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</w:rPr>
        <w:t>Getting into the Word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 of God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, the Bible, and reading it. 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numPr>
          <w:ilvl w:val="0"/>
          <w:numId w:val="1"/>
        </w:numPr>
        <w:ind w:left="720" w:hanging="360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Pray that God would give 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you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 eyes to see His glory all around you, from the tiniest thing to the big things.</w:t>
      </w:r>
    </w:p>
    <w:p>
      <w:pPr>
        <w:pStyle w:val="para2"/>
        <w:numPr>
          <w:ilvl w:val="0"/>
          <w:numId w:val="1"/>
        </w:numPr>
        <w:ind w:left="720" w:hanging="360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Take time to sit in silence 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to be able to see more, feel more, hear more. </w:t>
        <w:br w:type="textWrapping"/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</w:r>
    </w:p>
    <w:p>
      <w:pPr>
        <w:pStyle w:val="para2"/>
        <w:numPr>
          <w:ilvl w:val="0"/>
          <w:numId w:val="1"/>
        </w:numPr>
        <w:ind w:left="360" w:hanging="360"/>
        <w:rPr>
          <w:rFonts w:ascii="Calibri" w:hAnsi="Calibri" w:cs="Calibri"/>
          <w:b/>
          <w:bCs/>
          <w:i/>
          <w:iCs/>
          <w:color w:val="ff0000"/>
        </w:rPr>
      </w:pP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Take a 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walk 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in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 xml:space="preserve"> nature </w:t>
      </w:r>
      <w:r>
        <w:rPr>
          <w:rStyle w:val="char1"/>
          <w:rFonts w:ascii="Calibri" w:hAnsi="Calibri" w:cs="Calibri"/>
          <w:b/>
          <w:bCs/>
          <w:i/>
          <w:iCs/>
          <w:color w:val="000000"/>
        </w:rPr>
        <w:t>and notice all of God’s creative work.</w:t>
      </w:r>
    </w:p>
    <w:p>
      <w:pPr>
        <w:pStyle w:val="para2"/>
        <w:rPr>
          <w:rFonts w:ascii="Calibri" w:hAnsi="Calibri" w:cs="Calibri"/>
          <w:color w:val="000000"/>
        </w:rPr>
      </w:pPr>
      <w:r>
        <w:rPr>
          <w:rStyle w:val="char1"/>
          <w:rFonts w:ascii="Calibri" w:hAnsi="Calibri" w:cs="Calibri"/>
          <w:color w:val="000000"/>
        </w:rPr>
      </w:r>
    </w:p>
    <w:p>
      <w:pPr>
        <w:pStyle w:val="para2"/>
        <w:rPr>
          <w:rFonts w:ascii="Calibri" w:hAnsi="Calibri" w:cs="Calibri"/>
          <w:color w:val="000000"/>
        </w:rPr>
      </w:pPr>
      <w:r>
        <w:rPr>
          <w:rStyle w:val="char1"/>
          <w:rFonts w:ascii="Calibri" w:hAnsi="Calibri" w:cs="Calibri"/>
          <w:color w:val="000000"/>
        </w:rPr>
        <w:t>2 Corinthians 5:17 says, “the old is gone and the new has come.”</w:t>
      </w:r>
      <w:r>
        <w:rPr>
          <w:rStyle w:val="char1"/>
          <w:rFonts w:ascii="Calibri" w:hAnsi="Calibri" w:cs="Calibri"/>
          <w:color w:val="000000"/>
        </w:rPr>
      </w:r>
    </w:p>
    <w:p>
      <w:pPr>
        <w:pStyle w:val="para2"/>
        <w:rPr>
          <w:rFonts w:ascii="Calibri" w:hAnsi="Calibri" w:cs="Calibri"/>
          <w:color w:val="000000"/>
        </w:rPr>
      </w:pPr>
      <w:r>
        <w:rPr>
          <w:rStyle w:val="char1"/>
          <w:rFonts w:ascii="Calibri" w:hAnsi="Calibri" w:cs="Calibri"/>
          <w:color w:val="000000"/>
        </w:rPr>
      </w:r>
    </w:p>
    <w:p>
      <w:pPr>
        <w:pStyle w:val="para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3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3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3339890" w:val="122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</w:rPr>
  </w:style>
  <w:style w:type="paragraph" w:styleId="para1" w:customStyle="1">
    <w:name w:val="first-line-none"/>
    <w:qFormat/>
    <w:basedOn w:val="para0"/>
    <w:pPr>
      <w:spacing w:before="100" w:after="100" w:beforeAutospacing="1" w:afterAutospacing="1"/>
    </w:pPr>
  </w:style>
  <w:style w:type="paragraph" w:styleId="para2">
    <w:name w:val="Normal (Web)"/>
    <w:qFormat/>
    <w:basedOn w:val="para0"/>
    <w:pPr>
      <w:spacing w:before="100" w:after="100" w:beforeAutospacing="1" w:afterAutospacing="1"/>
    </w:pPr>
  </w:style>
  <w:style w:type="character" w:styleId="char0" w:default="1">
    <w:name w:val="Default Paragraph Font"/>
  </w:style>
  <w:style w:type="character" w:styleId="char1" w:customStyle="1">
    <w:name w:val="text"/>
    <w:basedOn w:val="char0"/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apple-converted-space"/>
    <w:basedOn w:val="char0"/>
  </w:style>
  <w:style w:type="character" w:styleId="char4" w:customStyle="1">
    <w:name w:val="woj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</w:rPr>
  </w:style>
  <w:style w:type="paragraph" w:styleId="para1" w:customStyle="1">
    <w:name w:val="first-line-none"/>
    <w:qFormat/>
    <w:basedOn w:val="para0"/>
    <w:pPr>
      <w:spacing w:before="100" w:after="100" w:beforeAutospacing="1" w:afterAutospacing="1"/>
    </w:pPr>
  </w:style>
  <w:style w:type="paragraph" w:styleId="para2">
    <w:name w:val="Normal (Web)"/>
    <w:qFormat/>
    <w:basedOn w:val="para0"/>
    <w:pPr>
      <w:spacing w:before="100" w:after="100" w:beforeAutospacing="1" w:afterAutospacing="1"/>
    </w:pPr>
  </w:style>
  <w:style w:type="character" w:styleId="char0" w:default="1">
    <w:name w:val="Default Paragraph Font"/>
  </w:style>
  <w:style w:type="character" w:styleId="char1" w:customStyle="1">
    <w:name w:val="text"/>
    <w:basedOn w:val="char0"/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apple-converted-space"/>
    <w:basedOn w:val="char0"/>
  </w:style>
  <w:style w:type="character" w:styleId="char4" w:customStyle="1">
    <w:name w:val="woj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www.biblegateway.com/passage/?search=john%202:1-11&amp;version=NLT#fen-NLT-2606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Nieves</dc:creator>
  <cp:keywords/>
  <dc:description/>
  <cp:lastModifiedBy/>
  <cp:revision>3</cp:revision>
  <dcterms:created xsi:type="dcterms:W3CDTF">2025-03-27T18:15:00Z</dcterms:created>
  <dcterms:modified xsi:type="dcterms:W3CDTF">2025-03-30T13:04:50Z</dcterms:modified>
</cp:coreProperties>
</file>